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trPr>
          <w:trHeight w:val="3607"/>
        </w:trPr>
        <w:tc>
          <w:tcPr>
            <w:tcW w:w="8600" w:type="dxa"/>
          </w:tcPr>
          <w:p>
            <w:pPr>
              <w:spacing w:line="280" w:lineRule="exact"/>
              <w:ind w:leftChars="200" w:left="420"/>
              <w:jc w:val="left"/>
              <w:rPr>
                <w:rFonts w:asciiTheme="minorEastAsia" w:hAnsiTheme="minorEastAsia"/>
                <w:b/>
                <w:sz w:val="24"/>
                <w:szCs w:val="24"/>
              </w:rPr>
            </w:pPr>
            <w:bookmarkStart w:id="0" w:name="_GoBack"/>
            <w:bookmarkEnd w:id="0"/>
            <w:r>
              <w:rPr>
                <w:rFonts w:asciiTheme="minorEastAsia" w:hAnsiTheme="minorEastAsia" w:hint="eastAsia"/>
                <w:b/>
                <w:sz w:val="24"/>
                <w:szCs w:val="24"/>
              </w:rPr>
              <w:t>生活保護法第55条第２項において準用する同法第49条の２第２項各</w:t>
            </w:r>
          </w:p>
          <w:p>
            <w:pPr>
              <w:spacing w:line="280" w:lineRule="exact"/>
              <w:ind w:leftChars="200" w:left="420"/>
              <w:jc w:val="left"/>
              <w:rPr>
                <w:rFonts w:asciiTheme="minorEastAsia" w:hAnsiTheme="minorEastAsia"/>
                <w:b/>
                <w:sz w:val="24"/>
                <w:szCs w:val="24"/>
              </w:rPr>
            </w:pPr>
            <w:r>
              <w:rPr>
                <w:rFonts w:asciiTheme="minorEastAsia" w:hAnsiTheme="minorEastAsia" w:hint="eastAsia"/>
                <w:b/>
                <w:sz w:val="24"/>
                <w:szCs w:val="24"/>
              </w:rPr>
              <w:t>号（第１号、第４号ただし書、第７号及び第９号を除く。）に該当しな</w:t>
            </w:r>
          </w:p>
          <w:p>
            <w:pPr>
              <w:spacing w:line="280" w:lineRule="exact"/>
              <w:ind w:leftChars="200" w:left="420"/>
              <w:jc w:val="left"/>
              <w:rPr>
                <w:rFonts w:asciiTheme="minorEastAsia" w:hAnsiTheme="minorEastAsia"/>
                <w:b/>
                <w:sz w:val="24"/>
                <w:szCs w:val="24"/>
              </w:rPr>
            </w:pPr>
            <w:r>
              <w:rPr>
                <w:rFonts w:asciiTheme="minorEastAsia" w:hAnsiTheme="minorEastAsia" w:hint="eastAsia"/>
                <w:b/>
                <w:sz w:val="24"/>
                <w:szCs w:val="24"/>
              </w:rPr>
              <w:t>い旨の誓約書</w:t>
            </w:r>
          </w:p>
          <w:p>
            <w:pPr>
              <w:spacing w:line="280" w:lineRule="exact"/>
              <w:jc w:val="center"/>
              <w:rPr>
                <w:rFonts w:asciiTheme="minorEastAsia" w:hAnsiTheme="minorEastAsia"/>
              </w:rPr>
            </w:pPr>
            <w:r>
              <w:rPr>
                <w:rFonts w:asciiTheme="minorEastAsia" w:hAnsiTheme="minorEastAsia" w:hint="eastAsia"/>
              </w:rPr>
              <w:t xml:space="preserve">　　　　　　　　　　　　　　　　　　　　　　　　　　年　　月　　日</w:t>
            </w:r>
          </w:p>
          <w:p>
            <w:pPr>
              <w:spacing w:line="280" w:lineRule="exact"/>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495301</wp:posOffset>
                      </wp:positionH>
                      <wp:positionV relativeFrom="paragraph">
                        <wp:posOffset>22225</wp:posOffset>
                      </wp:positionV>
                      <wp:extent cx="11239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239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rFonts w:hint="eastAsia"/>
                                      <w:color w:val="000000" w:themeColor="text1"/>
                                    </w:rPr>
                                    <w:t>姫路市長</w:t>
                                  </w:r>
                                  <w:r>
                                    <w:rPr>
                                      <w:color w:val="000000" w:themeColor="text1"/>
                                    </w:rPr>
                                    <w:t xml:space="preserve">　</w:t>
                                  </w:r>
                                  <w:r>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9pt;margin-top:1.75pt;width:8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" filled="f" stroked="f" strokeweight="2pt">
                      <v:textbox>
                        <w:txbxContent>
                          <w:p>
                            <w:pPr>
                              <w:jc w:val="center"/>
                              <w:rPr>
                                <w:color w:val="000000" w:themeColor="text1"/>
                              </w:rPr>
                            </w:pPr>
                            <w:r>
                              <w:rPr>
                                <w:rFonts w:hint="eastAsia"/>
                                <w:color w:val="000000" w:themeColor="text1"/>
                              </w:rPr>
                              <w:t>姫路市長</w:t>
                            </w:r>
                            <w:r>
                              <w:rPr>
                                <w:color w:val="000000" w:themeColor="text1"/>
                              </w:rPr>
                              <w:t xml:space="preserve">　</w:t>
                            </w:r>
                            <w:r>
                              <w:rPr>
                                <w:rFonts w:hint="eastAsia"/>
                                <w:color w:val="000000" w:themeColor="text1"/>
                              </w:rPr>
                              <w:t>様</w:t>
                            </w:r>
                          </w:p>
                        </w:txbxContent>
                      </v:textbox>
                    </v:rect>
                  </w:pict>
                </mc:Fallback>
              </mc:AlternateContent>
            </w:r>
            <w:r>
              <w:rPr>
                <w:rFonts w:asciiTheme="minorEastAsia" w:hAnsiTheme="minorEastAsia" w:hint="eastAsia"/>
              </w:rPr>
              <w:t xml:space="preserve">　　</w:t>
            </w:r>
          </w:p>
          <w:p>
            <w:pPr>
              <w:spacing w:line="280" w:lineRule="exact"/>
              <w:jc w:val="left"/>
              <w:rPr>
                <w:rFonts w:asciiTheme="minorEastAsia" w:hAnsiTheme="minorEastAsia"/>
              </w:rPr>
            </w:pPr>
            <w:r>
              <w:rPr>
                <w:rFonts w:asciiTheme="minorEastAsia" w:hAnsiTheme="minorEastAsia" w:hint="eastAsia"/>
              </w:rPr>
              <w:t xml:space="preserve">　　</w:t>
            </w:r>
          </w:p>
          <w:p>
            <w:pPr>
              <w:spacing w:line="280" w:lineRule="exact"/>
              <w:ind w:leftChars="99" w:left="208" w:firstLineChars="106" w:firstLine="212"/>
              <w:jc w:val="left"/>
              <w:rPr>
                <w:rFonts w:asciiTheme="minorEastAsia" w:hAnsiTheme="minorEastAsia"/>
                <w:sz w:val="20"/>
                <w:szCs w:val="20"/>
              </w:rPr>
            </w:pPr>
          </w:p>
          <w:p>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下欄に掲げる生活保護法第55条第２項において準用する同法第49条の２第２項各号（第１号、第４号ただし書、第７号及び第９号を除く。）の規定に該当しないことを誓約します。</w:t>
            </w:r>
          </w:p>
          <w:p>
            <w:pPr>
              <w:spacing w:line="280" w:lineRule="exact"/>
              <w:ind w:leftChars="99" w:left="208" w:firstLineChars="106" w:firstLine="212"/>
              <w:jc w:val="left"/>
              <w:rPr>
                <w:rFonts w:asciiTheme="minorEastAsia" w:hAnsiTheme="minorEastAsia"/>
                <w:sz w:val="20"/>
                <w:szCs w:val="20"/>
              </w:rPr>
            </w:pPr>
          </w:p>
          <w:p>
            <w:pPr>
              <w:spacing w:line="280" w:lineRule="exact"/>
              <w:ind w:right="840" w:firstLineChars="1300" w:firstLine="2730"/>
              <w:jc w:val="left"/>
              <w:rPr>
                <w:rFonts w:asciiTheme="minorEastAsia" w:hAnsiTheme="minorEastAsia"/>
              </w:rPr>
            </w:pPr>
            <w:r>
              <w:rPr>
                <w:rFonts w:asciiTheme="minorEastAsia" w:hAnsiTheme="minorEastAsia" w:hint="eastAsia"/>
              </w:rPr>
              <w:t>住　　　　 所</w:t>
            </w:r>
          </w:p>
          <w:p>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trPr>
          <w:trHeight w:val="2839"/>
        </w:trPr>
        <w:tc>
          <w:tcPr>
            <w:tcW w:w="8604" w:type="dxa"/>
            <w:shd w:val="clear" w:color="auto" w:fill="auto"/>
          </w:tcPr>
          <w:p>
            <w:pPr>
              <w:spacing w:line="280" w:lineRule="exact"/>
              <w:jc w:val="left"/>
              <w:rPr>
                <w:rFonts w:asciiTheme="minorEastAsia" w:hAnsiTheme="minorEastAsia"/>
                <w:sz w:val="20"/>
                <w:szCs w:val="20"/>
              </w:rPr>
            </w:pPr>
            <w:r>
              <w:rPr>
                <w:rFonts w:asciiTheme="minorEastAsia" w:hAnsiTheme="minorEastAsia" w:hint="eastAsia"/>
                <w:sz w:val="20"/>
                <w:szCs w:val="20"/>
              </w:rPr>
              <w:t>（誓約項目）</w:t>
            </w:r>
          </w:p>
          <w:p>
            <w:pPr>
              <w:spacing w:line="280" w:lineRule="exact"/>
              <w:ind w:firstLineChars="100" w:firstLine="200"/>
              <w:jc w:val="left"/>
              <w:rPr>
                <w:rFonts w:asciiTheme="minorEastAsia" w:hAnsiTheme="minorEastAsia"/>
                <w:sz w:val="20"/>
                <w:szCs w:val="20"/>
              </w:rPr>
            </w:pPr>
            <w:r>
              <w:rPr>
                <w:rFonts w:asciiTheme="minorEastAsia" w:hAnsiTheme="minorEastAsia" w:hint="eastAsia"/>
                <w:sz w:val="20"/>
                <w:szCs w:val="20"/>
              </w:rPr>
              <w:t>生活保護法第55条第２項において準用する同法第49条の２第２項各号（第１号、第４号ただし書、第７号及び第９号を除く。）の規定関係</w:t>
            </w:r>
          </w:p>
          <w:p>
            <w:pPr>
              <w:spacing w:line="280" w:lineRule="exact"/>
              <w:jc w:val="left"/>
              <w:rPr>
                <w:rFonts w:asciiTheme="minorEastAsia" w:hAnsiTheme="minorEastAsia"/>
                <w:sz w:val="20"/>
                <w:szCs w:val="20"/>
              </w:rPr>
            </w:pPr>
          </w:p>
          <w:p>
            <w:pPr>
              <w:spacing w:line="280" w:lineRule="exact"/>
              <w:jc w:val="left"/>
              <w:rPr>
                <w:rFonts w:asciiTheme="minorEastAsia" w:hAnsiTheme="minorEastAsia"/>
                <w:sz w:val="20"/>
                <w:szCs w:val="20"/>
              </w:rPr>
            </w:pPr>
            <w:r>
              <w:rPr>
                <w:rFonts w:asciiTheme="minorEastAsia" w:hAnsiTheme="minorEastAsia" w:hint="eastAsia"/>
                <w:sz w:val="20"/>
                <w:szCs w:val="20"/>
              </w:rPr>
              <w:t>１　第２項第２号関係</w:t>
            </w:r>
          </w:p>
          <w:p>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指定を受けようとする助産師又は施術者（以下「申請者」という。）が、禁錮以上の刑に処せられ、その執行を終わり、又は執行を受けることがなくなった日を経過しない者であること。</w:t>
            </w:r>
          </w:p>
          <w:p>
            <w:pPr>
              <w:spacing w:line="280" w:lineRule="exact"/>
              <w:jc w:val="left"/>
              <w:rPr>
                <w:rFonts w:asciiTheme="minorEastAsia" w:hAnsiTheme="minorEastAsia"/>
                <w:sz w:val="20"/>
                <w:szCs w:val="20"/>
              </w:rPr>
            </w:pPr>
          </w:p>
          <w:p>
            <w:pPr>
              <w:spacing w:line="280" w:lineRule="exact"/>
              <w:jc w:val="left"/>
              <w:rPr>
                <w:rFonts w:asciiTheme="minorEastAsia" w:hAnsiTheme="minorEastAsia"/>
                <w:sz w:val="20"/>
                <w:szCs w:val="20"/>
              </w:rPr>
            </w:pPr>
            <w:r>
              <w:rPr>
                <w:rFonts w:asciiTheme="minorEastAsia" w:hAnsiTheme="minorEastAsia" w:hint="eastAsia"/>
                <w:sz w:val="20"/>
                <w:szCs w:val="20"/>
              </w:rPr>
              <w:t>２　第２項第３号関係</w:t>
            </w:r>
          </w:p>
          <w:p>
            <w:pPr>
              <w:spacing w:line="280" w:lineRule="exact"/>
              <w:ind w:left="200" w:hangingChars="100" w:hanging="200"/>
              <w:rPr>
                <w:rFonts w:asciiTheme="minorEastAsia" w:hAnsiTheme="minorEastAsia" w:cs="ＭＳ 明朝"/>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kern w:val="0"/>
                <w:sz w:val="20"/>
                <w:szCs w:val="20"/>
              </w:rPr>
              <w:t>申請者が、生活保護法その他国民の保健医療若しくは福祉に関する法律で政令で定めるものの規定（※）により罰金の刑に処せられ、その執行を終わり、又は執行を受けることがなくなるまでの者であること。</w:t>
            </w:r>
          </w:p>
          <w:p>
            <w:pPr>
              <w:spacing w:line="240" w:lineRule="exact"/>
              <w:ind w:left="420" w:hangingChars="200" w:hanging="420"/>
              <w:rPr>
                <w:rFonts w:asciiTheme="minorEastAsia" w:hAnsiTheme="minorEastAsia" w:cs="ＭＳ 明朝"/>
                <w:kern w:val="0"/>
                <w:sz w:val="18"/>
                <w:szCs w:val="18"/>
              </w:rPr>
            </w:pPr>
            <w:r>
              <w:rPr>
                <w:rFonts w:asciiTheme="minorEastAsia" w:hAnsiTheme="minorEastAsia" w:cs="ＭＳ 明朝" w:hint="eastAsia"/>
                <w:kern w:val="0"/>
                <w:szCs w:val="21"/>
              </w:rPr>
              <w:t xml:space="preserve">　  </w:t>
            </w:r>
            <w:r>
              <w:rPr>
                <w:rFonts w:asciiTheme="minorEastAsia" w:hAnsiTheme="minorEastAsia" w:cs="ＭＳ 明朝" w:hint="eastAsia"/>
                <w:kern w:val="0"/>
                <w:sz w:val="18"/>
                <w:szCs w:val="18"/>
              </w:rPr>
              <w:t>※　その他国民の保険医療若しくは福祉に関する法律で政令で定めるものの規定</w:t>
            </w:r>
          </w:p>
          <w:p>
            <w:pPr>
              <w:spacing w:line="220" w:lineRule="exact"/>
              <w:ind w:firstLineChars="300" w:firstLine="540"/>
              <w:rPr>
                <w:rFonts w:ascii="ＭＳ 明朝" w:eastAsia="ＭＳ 明朝" w:hAnsi="Times New Roman" w:cs="Times New Roman"/>
                <w:spacing w:val="2"/>
                <w:kern w:val="0"/>
                <w:sz w:val="18"/>
                <w:szCs w:val="18"/>
              </w:rPr>
            </w:pPr>
            <w:r>
              <w:rPr>
                <w:rFonts w:asciiTheme="minorEastAsia" w:hAnsiTheme="minorEastAsia" w:cs="ＭＳ 明朝" w:hint="eastAsia"/>
                <w:kern w:val="0"/>
                <w:sz w:val="18"/>
                <w:szCs w:val="18"/>
              </w:rPr>
              <w:t xml:space="preserve">１　</w:t>
            </w:r>
            <w:r>
              <w:rPr>
                <w:rFonts w:ascii="ＭＳ 明朝" w:eastAsia="ＭＳ 明朝" w:hAnsi="ＭＳ 明朝" w:cs="ＭＳ 明朝" w:hint="eastAsia"/>
                <w:kern w:val="0"/>
                <w:sz w:val="18"/>
                <w:szCs w:val="18"/>
              </w:rPr>
              <w:t>児童福祉法（昭和22年法律第164号）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２　あん摩マツサージ指圧師、はり師、きゆう師等に関する法律（昭和22年法律第217号）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３　栄養士法（昭和22年法律第245号）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４　医師法（昭和23年法律第201号）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５　歯科医師法（昭和23年法律第202号）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６　保健師助産師看護師法（昭和23年法律第203号）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７　歯科衛生士法（昭和23年法律第204号）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８　医療法（昭和23年法律第205号）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９　身体障害者福祉法（昭和24年法律第283号）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10　精神保健及び精神障害者福祉に関する法律（昭和25年法律第123号）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11　社会福祉法（昭和26年法律第45号）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12　医薬品、医療機器等の品質、有効性及び安全性の確保等に関する法律（昭和35年法律第145</w:t>
            </w:r>
          </w:p>
          <w:p>
            <w:pPr>
              <w:suppressAutoHyphens/>
              <w:kinsoku w:val="0"/>
              <w:overflowPunct w:val="0"/>
              <w:spacing w:line="220" w:lineRule="exact"/>
              <w:ind w:firstLineChars="400" w:firstLine="72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13　薬剤師法（昭和35年法律第146号）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14　老人福祉法（昭和38年法律第133号）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15　理学療法士及び作業療法士法（昭和40年法律第137号）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16　柔道整復師法（昭和45年法律第19号）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17　社会福祉士及び介護福祉士法（昭和62年法律第30号）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18　義肢装具士法（昭和62年法律第61号）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19　介護保険法（平成9年法律第123号）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20　精神保健福祉士法（平成9年法律第131号）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21　言語聴覚士法（平成9年法律第132号）</w:t>
            </w:r>
          </w:p>
          <w:p>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Pr>
                <w:rFonts w:ascii="ＭＳ 明朝" w:eastAsia="ＭＳ 明朝" w:hAnsi="ＭＳ 明朝" w:cs="ＭＳ 明朝" w:hint="eastAsia"/>
                <w:kern w:val="0"/>
                <w:sz w:val="18"/>
                <w:szCs w:val="18"/>
              </w:rPr>
              <w:t>22  障害者の日常生活及び社会生活を総合的に支援するための法律（平成17年法律第123号）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23　高齢者虐待の防止、高齢者の養護者に対する支援等に関する法律（平成17年法律第124号）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24　就学前の子どもに関する教育、保育等の総合的な提供の推進に関する法律（平成18年法律第</w:t>
            </w:r>
          </w:p>
          <w:p>
            <w:pPr>
              <w:suppressAutoHyphens/>
              <w:kinsoku w:val="0"/>
              <w:overflowPunct w:val="0"/>
              <w:spacing w:line="220" w:lineRule="exact"/>
              <w:ind w:firstLineChars="400" w:firstLine="72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lastRenderedPageBreak/>
              <w:t>77号）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25　障害者虐待の防止、障害者の養護者に対する支援等に関する法律（平成23年法律第79号）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26　子ども・子育て支援法（平成24年法律第65号）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27　再生医療等の安全性の確保等に関する法律（平成25年法律第85号）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28　国家戦略特別区域法（平成25年法律第107号。第12条の4第15項及び第17項から第19項</w:t>
            </w:r>
          </w:p>
          <w:p>
            <w:pPr>
              <w:suppressAutoHyphens/>
              <w:kinsoku w:val="0"/>
              <w:overflowPunct w:val="0"/>
              <w:spacing w:line="220" w:lineRule="exact"/>
              <w:ind w:firstLineChars="400" w:firstLine="72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までの規定に限る。）</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29　難病の患者に対する医療等に関する法律（平成26年法律第50号）</w:t>
            </w:r>
          </w:p>
          <w:p>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Theme="minorEastAsia" w:hAnsiTheme="minorEastAsia" w:hint="eastAsia"/>
                <w:sz w:val="18"/>
                <w:szCs w:val="18"/>
              </w:rPr>
              <w:t>30　公認心理師法（平成27年法律第68号）</w:t>
            </w:r>
          </w:p>
          <w:p>
            <w:pPr>
              <w:spacing w:line="280" w:lineRule="exact"/>
              <w:rPr>
                <w:rFonts w:asciiTheme="minorEastAsia" w:hAnsiTheme="minorEastAsia"/>
                <w:sz w:val="20"/>
                <w:szCs w:val="20"/>
              </w:rPr>
            </w:pPr>
          </w:p>
          <w:p>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３　第２項第４号関係</w:t>
            </w:r>
          </w:p>
          <w:p>
            <w:pPr>
              <w:spacing w:line="280" w:lineRule="exact"/>
              <w:ind w:left="200" w:hangingChars="100" w:hanging="200"/>
              <w:rPr>
                <w:rFonts w:ascii="ＭＳ 明朝" w:eastAsia="ＭＳ 明朝" w:hAnsi="ＭＳ 明朝" w:cs="ＭＳ 明朝"/>
                <w:kern w:val="0"/>
                <w:sz w:val="20"/>
                <w:szCs w:val="20"/>
              </w:rPr>
            </w:pPr>
            <w:r>
              <w:rPr>
                <w:rFonts w:asciiTheme="minorEastAsia" w:hAnsiTheme="minorEastAsia" w:hint="eastAsia"/>
                <w:sz w:val="20"/>
                <w:szCs w:val="20"/>
              </w:rPr>
              <w:t xml:space="preserve">　　申請者が、生活保護法の規定により指定医療機関の指定を取り消され、その取消しの日から起算して５年を経過しない者であること。</w:t>
            </w:r>
          </w:p>
          <w:p>
            <w:pPr>
              <w:spacing w:line="280" w:lineRule="exact"/>
              <w:jc w:val="left"/>
              <w:rPr>
                <w:rFonts w:asciiTheme="minorEastAsia" w:hAnsiTheme="minorEastAsia"/>
                <w:sz w:val="20"/>
                <w:szCs w:val="20"/>
              </w:rPr>
            </w:pPr>
          </w:p>
          <w:p>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４　第２項第５号関係</w:t>
            </w:r>
          </w:p>
          <w:p>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者が、生活保護法の規定による指定の取消しの処分に係る行政手続法（平成５年法律第88号）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pPr>
              <w:spacing w:line="280" w:lineRule="exact"/>
              <w:ind w:left="200" w:hangingChars="100" w:hanging="200"/>
              <w:rPr>
                <w:rFonts w:asciiTheme="minorEastAsia" w:hAnsiTheme="minorEastAsia"/>
                <w:sz w:val="20"/>
                <w:szCs w:val="20"/>
              </w:rPr>
            </w:pPr>
          </w:p>
          <w:p>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　第２項第６号関係</w:t>
            </w:r>
          </w:p>
          <w:p>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pPr>
              <w:spacing w:line="280" w:lineRule="exact"/>
              <w:ind w:left="200" w:hangingChars="100" w:hanging="200"/>
              <w:rPr>
                <w:rFonts w:asciiTheme="minorEastAsia" w:hAnsiTheme="minorEastAsia"/>
                <w:sz w:val="20"/>
                <w:szCs w:val="20"/>
              </w:rPr>
            </w:pPr>
          </w:p>
          <w:p>
            <w:pPr>
              <w:spacing w:line="280" w:lineRule="exact"/>
              <w:rPr>
                <w:rFonts w:asciiTheme="minorEastAsia" w:hAnsiTheme="minorEastAsia"/>
                <w:sz w:val="20"/>
                <w:szCs w:val="20"/>
              </w:rPr>
            </w:pPr>
            <w:r>
              <w:rPr>
                <w:rFonts w:asciiTheme="minorEastAsia" w:hAnsiTheme="minorEastAsia" w:hint="eastAsia"/>
                <w:sz w:val="20"/>
                <w:szCs w:val="20"/>
              </w:rPr>
              <w:t>６　第２項第８号関係</w:t>
            </w:r>
          </w:p>
          <w:p>
            <w:pPr>
              <w:spacing w:line="280" w:lineRule="exact"/>
              <w:ind w:left="200" w:hangingChars="100" w:hanging="200"/>
              <w:rPr>
                <w:rFonts w:asciiTheme="minorEastAsia" w:hAnsiTheme="minorEastAsia" w:cs="ＭＳ 明朝"/>
                <w:kern w:val="0"/>
                <w:sz w:val="20"/>
                <w:szCs w:val="20"/>
              </w:rPr>
            </w:pPr>
            <w:r>
              <w:rPr>
                <w:rFonts w:asciiTheme="minorEastAsia" w:hAnsiTheme="minorEastAsia" w:hint="eastAsia"/>
                <w:sz w:val="20"/>
                <w:szCs w:val="20"/>
              </w:rPr>
              <w:t xml:space="preserve">　　</w:t>
            </w:r>
            <w:r>
              <w:rPr>
                <w:rFonts w:asciiTheme="minorEastAsia" w:hAnsiTheme="minorEastAsia" w:cs="ＭＳ 明朝" w:hint="eastAsia"/>
                <w:kern w:val="0"/>
                <w:sz w:val="20"/>
                <w:szCs w:val="20"/>
              </w:rPr>
              <w:t>申請者が、指定の申請前５年以内に被保護者の助産又は施術に関し不正又は著しく不当な行為をした者であること。</w:t>
            </w:r>
          </w:p>
          <w:p>
            <w:pPr>
              <w:spacing w:line="280" w:lineRule="exact"/>
              <w:ind w:left="200" w:hangingChars="100" w:hanging="200"/>
              <w:rPr>
                <w:rFonts w:asciiTheme="minorEastAsia" w:hAnsiTheme="minorEastAsia" w:cs="ＭＳ 明朝"/>
                <w:kern w:val="0"/>
                <w:sz w:val="20"/>
                <w:szCs w:val="20"/>
              </w:rPr>
            </w:pPr>
          </w:p>
          <w:p>
            <w:pPr>
              <w:spacing w:line="280" w:lineRule="exact"/>
              <w:ind w:left="200" w:hangingChars="100" w:hanging="200"/>
              <w:rPr>
                <w:rFonts w:asciiTheme="minorEastAsia" w:hAnsiTheme="minorEastAsia"/>
                <w:sz w:val="20"/>
                <w:szCs w:val="20"/>
              </w:rPr>
            </w:pPr>
          </w:p>
          <w:p>
            <w:pPr>
              <w:spacing w:line="280" w:lineRule="exact"/>
              <w:ind w:left="200" w:hangingChars="100" w:hanging="200"/>
              <w:rPr>
                <w:rFonts w:asciiTheme="minorEastAsia" w:hAnsiTheme="minorEastAsia"/>
                <w:sz w:val="20"/>
                <w:szCs w:val="20"/>
              </w:rPr>
            </w:pPr>
          </w:p>
        </w:tc>
      </w:tr>
    </w:tbl>
    <w:p>
      <w:pPr>
        <w:jc w:val="left"/>
        <w:rPr>
          <w:rFonts w:asciiTheme="minorEastAsia" w:hAnsiTheme="minorEastAsia"/>
        </w:rPr>
      </w:pPr>
    </w:p>
    <w:p>
      <w:pPr>
        <w:spacing w:line="20" w:lineRule="exact"/>
        <w:jc w:val="left"/>
      </w:pPr>
    </w:p>
    <w:sectPr>
      <w:footerReference w:type="default" r:id="rId8"/>
      <w:pgSz w:w="11906" w:h="16838"/>
      <w:pgMar w:top="1985" w:right="1701" w:bottom="1701" w:left="1701" w:header="851" w:footer="56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68799"/>
      <w:docPartObj>
        <w:docPartGallery w:val="Page Numbers (Bottom of Page)"/>
        <w:docPartUnique/>
      </w:docPartObj>
    </w:sdtPr>
    <w:sdtContent>
      <w:p>
        <w:pPr>
          <w:pStyle w:val="a6"/>
          <w:jc w:val="center"/>
        </w:pPr>
        <w:r>
          <w:rPr>
            <w:rFonts w:hint="eastAsia"/>
          </w:rPr>
          <w:t xml:space="preserve">　</w:t>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BE94-46C0-42D6-B0DD-819D136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坂本　愛絵</cp:lastModifiedBy>
  <cp:revision>42</cp:revision>
  <cp:lastPrinted>2016-04-01T08:45:00Z</cp:lastPrinted>
  <dcterms:created xsi:type="dcterms:W3CDTF">2013-11-22T00:17:00Z</dcterms:created>
  <dcterms:modified xsi:type="dcterms:W3CDTF">2021-03-30T10:31:00Z</dcterms:modified>
  <cp:category>加藤 昭宏</cp:category>
  <cp:contentStatus>加藤 昭宏</cp:contentStatus>
  <dc:language>加藤 昭宏</dc:language>
</cp:coreProperties>
</file>