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overflowPunct w:val="0"/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様式第１５号（第１２条関係）</w:t>
      </w:r>
    </w:p>
    <w:p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収支決算書</w:t>
      </w:r>
    </w:p>
    <w:p>
      <w:pPr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　収入の部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2977"/>
        <w:gridCol w:w="3118"/>
      </w:tblGrid>
      <w:tr>
        <w:trPr>
          <w:trHeight w:val="39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科目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予算額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内訳</w:t>
            </w: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訪問看護師・介護員離職防止等対策事業補助金として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当該事業に係る支出予定額に</w:t>
            </w:r>
          </w:p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2/3を乗じた額（10円未満の端数は切り捨て）</w:t>
            </w: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事業者負担として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>
      <w:pPr>
        <w:autoSpaceDE w:val="0"/>
        <w:autoSpaceDN w:val="0"/>
        <w:spacing w:line="480" w:lineRule="exact"/>
        <w:rPr>
          <w:rFonts w:asciiTheme="minorEastAsia" w:hAnsiTheme="minorEastAsia"/>
          <w:sz w:val="22"/>
          <w:szCs w:val="22"/>
        </w:rPr>
      </w:pPr>
    </w:p>
    <w:p>
      <w:pPr>
        <w:autoSpaceDE w:val="0"/>
        <w:autoSpaceDN w:val="0"/>
        <w:spacing w:line="480" w:lineRule="exac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２　支出の部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268"/>
        <w:gridCol w:w="2693"/>
        <w:gridCol w:w="1977"/>
      </w:tblGrid>
      <w:tr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サービス種類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サービス提供時間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予　算　額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内　訳</w:t>
            </w:r>
          </w:p>
        </w:tc>
      </w:tr>
      <w:tr>
        <w:trPr>
          <w:trHeight w:hRule="exact" w:val="6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訪問看護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</w:t>
            </w:r>
            <w:r>
              <w:rPr>
                <w:rFonts w:asciiTheme="minorEastAsia" w:hAnsiTheme="minorEastAsia"/>
                <w:sz w:val="22"/>
                <w:szCs w:val="22"/>
              </w:rPr>
              <w:t>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分未満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</w:t>
            </w:r>
            <w:r>
              <w:rPr>
                <w:rFonts w:asciiTheme="minorEastAsia" w:hAnsiTheme="minorEastAsia"/>
                <w:sz w:val="22"/>
                <w:szCs w:val="22"/>
              </w:rPr>
              <w:t>2,540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>
        <w:trPr>
          <w:trHeight w:hRule="exact" w:val="68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30分以上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</w:t>
            </w:r>
            <w:r>
              <w:rPr>
                <w:rFonts w:asciiTheme="minorEastAsia" w:hAnsiTheme="minorEastAsia"/>
                <w:sz w:val="22"/>
                <w:szCs w:val="22"/>
              </w:rPr>
              <w:t>4,020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>
        <w:trPr>
          <w:trHeight w:hRule="exact" w:val="6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訪問看護</w:t>
            </w:r>
          </w:p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（介護補助者が同行する場合）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</w:t>
            </w:r>
            <w:r>
              <w:rPr>
                <w:rFonts w:asciiTheme="minorEastAsia" w:hAnsiTheme="minorEastAsia"/>
                <w:sz w:val="22"/>
                <w:szCs w:val="22"/>
              </w:rPr>
              <w:t>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分未満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1回につき2,010円</w:t>
            </w:r>
          </w:p>
        </w:tc>
      </w:tr>
      <w:tr>
        <w:trPr>
          <w:trHeight w:hRule="exact" w:val="68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30分以上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</w:t>
            </w:r>
            <w:r>
              <w:rPr>
                <w:rFonts w:asciiTheme="minorEastAsia" w:hAnsiTheme="minorEastAsia"/>
                <w:sz w:val="22"/>
                <w:szCs w:val="22"/>
              </w:rPr>
              <w:t>3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,</w:t>
            </w:r>
            <w:r>
              <w:rPr>
                <w:rFonts w:asciiTheme="minorEastAsia" w:hAnsiTheme="minorEastAsia"/>
                <w:sz w:val="22"/>
                <w:szCs w:val="22"/>
              </w:rPr>
              <w:t>170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>
        <w:trPr>
          <w:trHeight w:hRule="exact" w:val="6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介護予防訪問看護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30分未満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1回につき2,540円</w:t>
            </w:r>
          </w:p>
        </w:tc>
      </w:tr>
      <w:tr>
        <w:trPr>
          <w:trHeight w:hRule="exact" w:val="68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30分以上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</w:t>
            </w:r>
            <w:r>
              <w:rPr>
                <w:rFonts w:asciiTheme="minorEastAsia" w:hAnsiTheme="minorEastAsia"/>
                <w:sz w:val="22"/>
                <w:szCs w:val="22"/>
              </w:rPr>
              <w:t>4,020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>
        <w:trPr>
          <w:trHeight w:hRule="exact" w:val="6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介護予防訪問看護</w:t>
            </w:r>
          </w:p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（介護補助者が同行する場合）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30分未満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1回につき2,010円</w:t>
            </w:r>
          </w:p>
        </w:tc>
      </w:tr>
      <w:tr>
        <w:trPr>
          <w:trHeight w:hRule="exact" w:val="68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30分以上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</w:t>
            </w:r>
            <w:r>
              <w:rPr>
                <w:rFonts w:asciiTheme="minorEastAsia" w:hAnsiTheme="minorEastAsia"/>
                <w:sz w:val="22"/>
                <w:szCs w:val="22"/>
              </w:rPr>
              <w:t>3,170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>
        <w:trPr>
          <w:trHeight w:hRule="exact" w:val="6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訪問介護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20分未満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</w:t>
            </w:r>
            <w:r>
              <w:rPr>
                <w:rFonts w:asciiTheme="minorEastAsia" w:hAnsiTheme="minorEastAsia"/>
                <w:sz w:val="22"/>
                <w:szCs w:val="22"/>
              </w:rPr>
              <w:t>1,6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7</w:t>
            </w:r>
            <w:r>
              <w:rPr>
                <w:rFonts w:asciiTheme="minorEastAsia" w:hAnsiTheme="minorEastAsia"/>
                <w:sz w:val="22"/>
                <w:szCs w:val="22"/>
              </w:rPr>
              <w:t>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>
        <w:trPr>
          <w:trHeight w:hRule="exact" w:val="6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2</w:t>
            </w:r>
            <w:r>
              <w:rPr>
                <w:rFonts w:asciiTheme="minorEastAsia" w:hAnsiTheme="minorEastAsia"/>
                <w:sz w:val="22"/>
                <w:szCs w:val="22"/>
              </w:rPr>
              <w:t>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分以上30分未満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</w:t>
            </w:r>
            <w:r>
              <w:rPr>
                <w:rFonts w:asciiTheme="minorEastAsia" w:hAnsiTheme="minorEastAsia"/>
                <w:sz w:val="22"/>
                <w:szCs w:val="22"/>
              </w:rPr>
              <w:t>2,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50</w:t>
            </w:r>
            <w:r>
              <w:rPr>
                <w:rFonts w:asciiTheme="minorEastAsia" w:hAnsiTheme="minorEastAsia"/>
                <w:sz w:val="22"/>
                <w:szCs w:val="22"/>
              </w:rPr>
              <w:t>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>
        <w:trPr>
          <w:trHeight w:hRule="exact" w:val="68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</w:t>
            </w:r>
            <w:r>
              <w:rPr>
                <w:rFonts w:asciiTheme="minorEastAsia" w:hAnsiTheme="minorEastAsia"/>
                <w:sz w:val="22"/>
                <w:szCs w:val="22"/>
              </w:rPr>
              <w:t>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分以上１時間未満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</w:t>
            </w:r>
            <w:r>
              <w:rPr>
                <w:rFonts w:asciiTheme="minorEastAsia" w:hAnsiTheme="minorEastAsia"/>
                <w:sz w:val="22"/>
                <w:szCs w:val="22"/>
              </w:rPr>
              <w:t>3,9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6</w:t>
            </w:r>
            <w:bookmarkStart w:id="0" w:name="_GoBack"/>
            <w:bookmarkEnd w:id="0"/>
            <w:r>
              <w:rPr>
                <w:rFonts w:asciiTheme="minorEastAsia" w:hAnsiTheme="minorEastAsia"/>
                <w:sz w:val="22"/>
                <w:szCs w:val="22"/>
              </w:rPr>
              <w:t>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>
        <w:trPr>
          <w:trHeight w:hRule="exact" w:val="68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>
      <w:pPr>
        <w:autoSpaceDE w:val="0"/>
        <w:autoSpaceDN w:val="0"/>
        <w:snapToGrid w:val="0"/>
        <w:ind w:firstLineChars="50" w:firstLine="11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１　収支の計は，それぞれ一致する。</w:t>
      </w:r>
    </w:p>
    <w:p>
      <w:pPr>
        <w:autoSpaceDE w:val="0"/>
        <w:autoSpaceDN w:val="0"/>
        <w:snapToGrid w:val="0"/>
        <w:ind w:firstLineChars="50" w:firstLine="110"/>
        <w:rPr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２　表中、申請の金額は上段に（）書き、決算の金額は下段に記入する。</w:t>
      </w:r>
    </w:p>
    <w:sectPr>
      <w:pgSz w:w="11906" w:h="16838"/>
      <w:pgMar w:top="1418" w:right="1418" w:bottom="993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B68DD64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52DC1F1-BE43-4CD6-870D-BBC6F981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rPr>
      <w:rFonts w:ascii="ＭＳ 明朝" w:hAnsi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rPr>
      <w:rFonts w:ascii="ＭＳ 明朝" w:hAnsi="ＭＳ 明朝"/>
      <w:sz w:val="22"/>
      <w:szCs w:val="22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C8BCF-9EDE-41FB-A04C-E028A193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津志</cp:lastModifiedBy>
  <cp:revision>20</cp:revision>
  <cp:lastPrinted>2021-06-30T03:10:00Z</cp:lastPrinted>
  <dcterms:created xsi:type="dcterms:W3CDTF">2020-02-28T12:46:00Z</dcterms:created>
  <dcterms:modified xsi:type="dcterms:W3CDTF">2021-06-30T03:10:00Z</dcterms:modified>
</cp:coreProperties>
</file>