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様式第７号（第９条関係）</w:t>
      </w:r>
    </w:p>
    <w:p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収支予算書（変更後）</w:t>
      </w:r>
    </w:p>
    <w:p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収入の部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977"/>
        <w:gridCol w:w="3118"/>
      </w:tblGrid>
      <w:tr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科　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内　訳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姫路市介護事業所におけるハラスメント対策費用補助金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  <w:szCs w:val="22"/>
              </w:rPr>
              <w:t>として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補助基準額に２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／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３を乗じた額（千円未満の端数は切捨て）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rPr>
          <w:rFonts w:asciiTheme="minorEastAsia" w:hAnsiTheme="minorEastAsia"/>
          <w:sz w:val="22"/>
          <w:szCs w:val="22"/>
        </w:rPr>
      </w:pPr>
    </w:p>
    <w:p>
      <w:pPr>
        <w:autoSpaceDE w:val="0"/>
        <w:autoSpaceDN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２　支出の部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977"/>
        <w:gridCol w:w="3118"/>
      </w:tblGrid>
      <w:tr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内　訳</w:t>
            </w: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7" w:left="-99" w:right="3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 )</w:t>
            </w:r>
          </w:p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snapToGrid w:val="0"/>
        <w:ind w:firstLineChars="50" w:firstLine="1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　収支の計は，それぞれ一致する。</w:t>
      </w:r>
    </w:p>
    <w:p>
      <w:pPr>
        <w:snapToGrid w:val="0"/>
        <w:ind w:firstLineChars="50" w:firstLine="110"/>
        <w:rPr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※ </w:t>
      </w:r>
      <w:r>
        <w:rPr>
          <w:rFonts w:asciiTheme="minorEastAsia" w:hAnsiTheme="minorEastAsia"/>
          <w:sz w:val="22"/>
          <w:szCs w:val="22"/>
        </w:rPr>
        <w:t xml:space="preserve"> </w:t>
      </w:r>
      <w:r>
        <w:rPr>
          <w:rFonts w:asciiTheme="minorEastAsia" w:hAnsiTheme="minorEastAsia" w:hint="eastAsia"/>
          <w:sz w:val="22"/>
          <w:szCs w:val="22"/>
        </w:rPr>
        <w:t>表中、変更前の金額は上段に括弧書き、変更後の金額は下段に記入する。</w:t>
      </w:r>
    </w:p>
    <w:sectPr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C1EC-1B4D-4289-933F-4E175476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津志</cp:lastModifiedBy>
  <cp:revision>24</cp:revision>
  <cp:lastPrinted>2021-03-02T06:00:00Z</cp:lastPrinted>
  <dcterms:created xsi:type="dcterms:W3CDTF">2020-02-28T12:46:00Z</dcterms:created>
  <dcterms:modified xsi:type="dcterms:W3CDTF">2021-03-25T05:48:00Z</dcterms:modified>
</cp:coreProperties>
</file>